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3CD" w:rsidRPr="008D50E5" w:rsidRDefault="00B17876" w:rsidP="008D50E5">
      <w:pPr>
        <w:pStyle w:val="m-6766587110446760263gmail-m4250945737573144074msolistparagraph"/>
        <w:spacing w:before="0" w:beforeAutospacing="0" w:after="160" w:afterAutospacing="0" w:line="233" w:lineRule="atLeast"/>
        <w:ind w:left="720"/>
        <w:jc w:val="center"/>
        <w:rPr>
          <w:rFonts w:ascii="Arial" w:hAnsi="Arial" w:cs="Arial"/>
          <w:b/>
          <w:lang w:val="en-AU"/>
        </w:rPr>
      </w:pPr>
      <w:r w:rsidRPr="008D50E5">
        <w:rPr>
          <w:rFonts w:ascii="Arial" w:hAnsi="Arial" w:cs="Arial"/>
          <w:b/>
          <w:lang w:val="en-AU"/>
        </w:rPr>
        <w:t>December 6, 2016</w:t>
      </w:r>
    </w:p>
    <w:p w:rsidR="00B17876" w:rsidRDefault="00B17876" w:rsidP="008D50E5">
      <w:pPr>
        <w:pStyle w:val="m-6766587110446760263gmail-m4250945737573144074msolistparagraph"/>
        <w:spacing w:before="0" w:beforeAutospacing="0" w:after="160" w:afterAutospacing="0" w:line="233" w:lineRule="atLeast"/>
        <w:ind w:left="720"/>
        <w:jc w:val="center"/>
        <w:rPr>
          <w:rFonts w:ascii="Arial" w:hAnsi="Arial" w:cs="Arial"/>
          <w:b/>
        </w:rPr>
      </w:pPr>
      <w:r w:rsidRPr="008D50E5">
        <w:rPr>
          <w:rFonts w:ascii="Arial" w:hAnsi="Arial" w:cs="Arial"/>
          <w:b/>
          <w:lang w:val="en-AU"/>
        </w:rPr>
        <w:t>Submission</w:t>
      </w:r>
      <w:r w:rsidRPr="008D50E5">
        <w:rPr>
          <w:rFonts w:ascii="Arial" w:hAnsi="Arial" w:cs="Arial"/>
          <w:b/>
        </w:rPr>
        <w:t xml:space="preserve"> for </w:t>
      </w:r>
      <w:hyperlink r:id="rId5" w:tgtFrame="_blank" w:history="1">
        <w:proofErr w:type="spellStart"/>
        <w:r w:rsidRPr="008D50E5">
          <w:rPr>
            <w:rStyle w:val="Hyperlink"/>
            <w:rFonts w:ascii="Arial" w:hAnsi="Arial" w:cs="Arial"/>
            <w:b/>
          </w:rPr>
          <w:t>SmartSheet</w:t>
        </w:r>
        <w:proofErr w:type="spellEnd"/>
      </w:hyperlink>
      <w:r w:rsidR="008D50E5">
        <w:rPr>
          <w:rFonts w:ascii="Arial" w:hAnsi="Arial" w:cs="Arial"/>
          <w:b/>
        </w:rPr>
        <w:t xml:space="preserve"> from Siemens Real Estate</w:t>
      </w:r>
    </w:p>
    <w:p w:rsidR="008D50E5" w:rsidRPr="008D50E5" w:rsidRDefault="008D50E5" w:rsidP="008D50E5">
      <w:pPr>
        <w:pStyle w:val="m-6766587110446760263gmail-m4250945737573144074msolistparagraph"/>
        <w:spacing w:before="0" w:beforeAutospacing="0" w:after="160" w:afterAutospacing="0" w:line="233" w:lineRule="atLeast"/>
        <w:ind w:left="720"/>
        <w:jc w:val="center"/>
        <w:rPr>
          <w:b/>
        </w:rPr>
      </w:pPr>
      <w:r>
        <w:rPr>
          <w:rFonts w:ascii="Arial" w:hAnsi="Arial" w:cs="Arial"/>
          <w:b/>
        </w:rPr>
        <w:t xml:space="preserve">By: Bob </w:t>
      </w:r>
      <w:proofErr w:type="spellStart"/>
      <w:r>
        <w:rPr>
          <w:rFonts w:ascii="Arial" w:hAnsi="Arial" w:cs="Arial"/>
          <w:b/>
        </w:rPr>
        <w:t>Kermanshahi</w:t>
      </w:r>
      <w:proofErr w:type="spellEnd"/>
      <w:r>
        <w:rPr>
          <w:rFonts w:ascii="Arial" w:hAnsi="Arial" w:cs="Arial"/>
          <w:b/>
        </w:rPr>
        <w:t xml:space="preserve">, Head of Strategy, </w:t>
      </w:r>
      <w:proofErr w:type="gramStart"/>
      <w:r>
        <w:rPr>
          <w:rFonts w:ascii="Arial" w:hAnsi="Arial" w:cs="Arial"/>
          <w:b/>
        </w:rPr>
        <w:t>Siemens</w:t>
      </w:r>
      <w:proofErr w:type="gramEnd"/>
      <w:r>
        <w:rPr>
          <w:rFonts w:ascii="Arial" w:hAnsi="Arial" w:cs="Arial"/>
          <w:b/>
        </w:rPr>
        <w:t xml:space="preserve"> Real Estate for the Americas</w:t>
      </w:r>
    </w:p>
    <w:p w:rsidR="00027327" w:rsidRDefault="00027327">
      <w:pPr>
        <w:rPr>
          <w:b/>
          <w:bCs/>
          <w:sz w:val="20"/>
          <w:szCs w:val="20"/>
        </w:rPr>
      </w:pPr>
    </w:p>
    <w:p w:rsidR="008759DE" w:rsidRDefault="00EF2673">
      <w:pPr>
        <w:rPr>
          <w:sz w:val="20"/>
          <w:szCs w:val="20"/>
        </w:rPr>
      </w:pPr>
      <w:r>
        <w:rPr>
          <w:sz w:val="20"/>
          <w:szCs w:val="20"/>
        </w:rPr>
        <w:t xml:space="preserve">In the context of </w:t>
      </w:r>
      <w:r w:rsidR="00D063CD">
        <w:rPr>
          <w:sz w:val="20"/>
          <w:szCs w:val="20"/>
        </w:rPr>
        <w:t>Corporate Real Estate</w:t>
      </w:r>
      <w:r>
        <w:rPr>
          <w:sz w:val="20"/>
          <w:szCs w:val="20"/>
        </w:rPr>
        <w:t>,</w:t>
      </w:r>
      <w:r w:rsidR="00D063CD">
        <w:rPr>
          <w:sz w:val="20"/>
          <w:szCs w:val="20"/>
        </w:rPr>
        <w:t xml:space="preserve"> the need for change management </w:t>
      </w:r>
      <w:r w:rsidR="00C261DA">
        <w:rPr>
          <w:sz w:val="20"/>
          <w:szCs w:val="20"/>
        </w:rPr>
        <w:t>is an essential</w:t>
      </w:r>
      <w:r w:rsidR="00B17876">
        <w:rPr>
          <w:sz w:val="20"/>
          <w:szCs w:val="20"/>
        </w:rPr>
        <w:t xml:space="preserve"> </w:t>
      </w:r>
      <w:r w:rsidR="00E847DC">
        <w:rPr>
          <w:sz w:val="20"/>
          <w:szCs w:val="20"/>
        </w:rPr>
        <w:t xml:space="preserve">service </w:t>
      </w:r>
      <w:r w:rsidR="00C261DA">
        <w:rPr>
          <w:sz w:val="20"/>
          <w:szCs w:val="20"/>
        </w:rPr>
        <w:t>to</w:t>
      </w:r>
      <w:r w:rsidR="00E57DEE">
        <w:rPr>
          <w:sz w:val="20"/>
          <w:szCs w:val="20"/>
        </w:rPr>
        <w:t xml:space="preserve"> our</w:t>
      </w:r>
      <w:r w:rsidR="00E847DC">
        <w:rPr>
          <w:sz w:val="20"/>
          <w:szCs w:val="20"/>
        </w:rPr>
        <w:t xml:space="preserve"> customers.  </w:t>
      </w:r>
      <w:r w:rsidR="00D063CD">
        <w:rPr>
          <w:sz w:val="20"/>
          <w:szCs w:val="20"/>
        </w:rPr>
        <w:t xml:space="preserve"> </w:t>
      </w:r>
      <w:r w:rsidR="00E847DC">
        <w:rPr>
          <w:sz w:val="20"/>
          <w:szCs w:val="20"/>
        </w:rPr>
        <w:t xml:space="preserve">At </w:t>
      </w:r>
      <w:r w:rsidR="00D063CD">
        <w:rPr>
          <w:sz w:val="20"/>
          <w:szCs w:val="20"/>
        </w:rPr>
        <w:t>Siemens Real Estate</w:t>
      </w:r>
      <w:r w:rsidR="00027327">
        <w:rPr>
          <w:sz w:val="20"/>
          <w:szCs w:val="20"/>
        </w:rPr>
        <w:t xml:space="preserve"> (SRE)</w:t>
      </w:r>
      <w:r w:rsidR="00C261DA">
        <w:rPr>
          <w:sz w:val="20"/>
          <w:szCs w:val="20"/>
        </w:rPr>
        <w:t>,</w:t>
      </w:r>
      <w:r w:rsidR="00E847DC">
        <w:rPr>
          <w:sz w:val="20"/>
          <w:szCs w:val="20"/>
        </w:rPr>
        <w:t xml:space="preserve"> o</w:t>
      </w:r>
      <w:r w:rsidR="00D063CD">
        <w:rPr>
          <w:sz w:val="20"/>
          <w:szCs w:val="20"/>
        </w:rPr>
        <w:t xml:space="preserve">ur customers are the employees </w:t>
      </w:r>
      <w:r w:rsidR="00E847DC">
        <w:rPr>
          <w:sz w:val="20"/>
          <w:szCs w:val="20"/>
        </w:rPr>
        <w:t xml:space="preserve">and businesses </w:t>
      </w:r>
      <w:r w:rsidR="00D063CD">
        <w:rPr>
          <w:sz w:val="20"/>
          <w:szCs w:val="20"/>
        </w:rPr>
        <w:t>of the Siemens</w:t>
      </w:r>
      <w:r w:rsidR="00E57DEE">
        <w:rPr>
          <w:sz w:val="20"/>
          <w:szCs w:val="20"/>
        </w:rPr>
        <w:t xml:space="preserve"> divisions </w:t>
      </w:r>
      <w:r w:rsidR="00D063CD">
        <w:rPr>
          <w:sz w:val="20"/>
          <w:szCs w:val="20"/>
        </w:rPr>
        <w:t xml:space="preserve">in the Americas. </w:t>
      </w:r>
      <w:r w:rsidR="00E57DEE">
        <w:rPr>
          <w:sz w:val="20"/>
          <w:szCs w:val="20"/>
        </w:rPr>
        <w:t xml:space="preserve">Siemens has approximately 70,000 employees in the Americas </w:t>
      </w:r>
      <w:r w:rsidR="00C261DA">
        <w:rPr>
          <w:sz w:val="20"/>
          <w:szCs w:val="20"/>
        </w:rPr>
        <w:t xml:space="preserve">region </w:t>
      </w:r>
      <w:r w:rsidR="00E57DEE">
        <w:rPr>
          <w:sz w:val="20"/>
          <w:szCs w:val="20"/>
        </w:rPr>
        <w:t xml:space="preserve">with over $20 Billion dollars in sales. </w:t>
      </w:r>
      <w:r w:rsidR="00D063CD">
        <w:rPr>
          <w:sz w:val="20"/>
          <w:szCs w:val="20"/>
        </w:rPr>
        <w:t xml:space="preserve"> We often engage with the businesses on opportunities to modernize a traditional </w:t>
      </w:r>
      <w:r w:rsidR="00B17876">
        <w:rPr>
          <w:sz w:val="20"/>
          <w:szCs w:val="20"/>
        </w:rPr>
        <w:t xml:space="preserve">closed </w:t>
      </w:r>
      <w:r w:rsidR="00D063CD">
        <w:rPr>
          <w:sz w:val="20"/>
          <w:szCs w:val="20"/>
        </w:rPr>
        <w:t>office environment</w:t>
      </w:r>
      <w:r w:rsidR="00C261DA">
        <w:rPr>
          <w:sz w:val="20"/>
          <w:szCs w:val="20"/>
        </w:rPr>
        <w:t xml:space="preserve"> (cubicle style)</w:t>
      </w:r>
      <w:r w:rsidR="00D063CD">
        <w:rPr>
          <w:sz w:val="20"/>
          <w:szCs w:val="20"/>
        </w:rPr>
        <w:t xml:space="preserve"> to that of a</w:t>
      </w:r>
      <w:r w:rsidR="00B17876">
        <w:rPr>
          <w:sz w:val="20"/>
          <w:szCs w:val="20"/>
        </w:rPr>
        <w:t xml:space="preserve"> modern</w:t>
      </w:r>
      <w:r w:rsidR="00C261DA">
        <w:rPr>
          <w:sz w:val="20"/>
          <w:szCs w:val="20"/>
        </w:rPr>
        <w:t>,</w:t>
      </w:r>
      <w:r w:rsidR="00B17876">
        <w:rPr>
          <w:sz w:val="20"/>
          <w:szCs w:val="20"/>
        </w:rPr>
        <w:t xml:space="preserve"> </w:t>
      </w:r>
      <w:r w:rsidR="00D063CD">
        <w:rPr>
          <w:sz w:val="20"/>
          <w:szCs w:val="20"/>
        </w:rPr>
        <w:t xml:space="preserve">open office.  We have branded this Siemens </w:t>
      </w:r>
      <w:r w:rsidR="00C261DA">
        <w:rPr>
          <w:sz w:val="20"/>
          <w:szCs w:val="20"/>
        </w:rPr>
        <w:t>o</w:t>
      </w:r>
      <w:r w:rsidR="00D063CD">
        <w:rPr>
          <w:sz w:val="20"/>
          <w:szCs w:val="20"/>
        </w:rPr>
        <w:t>ffice concept as</w:t>
      </w:r>
      <w:r w:rsidR="00C261DA">
        <w:rPr>
          <w:sz w:val="20"/>
          <w:szCs w:val="20"/>
        </w:rPr>
        <w:t xml:space="preserve"> the</w:t>
      </w:r>
      <w:r w:rsidR="00D063CD">
        <w:rPr>
          <w:sz w:val="20"/>
          <w:szCs w:val="20"/>
        </w:rPr>
        <w:t xml:space="preserve"> “New Way of Working”</w:t>
      </w:r>
      <w:r w:rsidR="00E57DEE">
        <w:rPr>
          <w:sz w:val="20"/>
          <w:szCs w:val="20"/>
        </w:rPr>
        <w:t xml:space="preserve"> and have been making the shift over the past 5 years as opportunity arises.</w:t>
      </w:r>
      <w:r w:rsidR="00D063CD">
        <w:rPr>
          <w:sz w:val="20"/>
          <w:szCs w:val="20"/>
        </w:rPr>
        <w:t xml:space="preserve">  When transforming the working mode from a traditional office (cubicle style), to that of an open</w:t>
      </w:r>
      <w:r w:rsidR="00C261DA">
        <w:rPr>
          <w:sz w:val="20"/>
          <w:szCs w:val="20"/>
        </w:rPr>
        <w:t>,</w:t>
      </w:r>
      <w:r w:rsidR="00D063CD">
        <w:rPr>
          <w:sz w:val="20"/>
          <w:szCs w:val="20"/>
        </w:rPr>
        <w:t xml:space="preserve"> flexible working model,</w:t>
      </w:r>
      <w:r w:rsidR="00C261DA">
        <w:rPr>
          <w:sz w:val="20"/>
          <w:szCs w:val="20"/>
        </w:rPr>
        <w:t xml:space="preserve"> active leadership and </w:t>
      </w:r>
      <w:r w:rsidR="00D063CD">
        <w:rPr>
          <w:sz w:val="20"/>
          <w:szCs w:val="20"/>
        </w:rPr>
        <w:t xml:space="preserve">change management </w:t>
      </w:r>
      <w:r w:rsidR="00C261DA">
        <w:rPr>
          <w:sz w:val="20"/>
          <w:szCs w:val="20"/>
        </w:rPr>
        <w:t>are key success factors</w:t>
      </w:r>
      <w:r w:rsidR="008759DE">
        <w:rPr>
          <w:sz w:val="20"/>
          <w:szCs w:val="20"/>
        </w:rPr>
        <w:t xml:space="preserve"> to ensure employee concerns are addressed so the “how” and the “why” </w:t>
      </w:r>
      <w:r w:rsidR="00B17876">
        <w:rPr>
          <w:sz w:val="20"/>
          <w:szCs w:val="20"/>
        </w:rPr>
        <w:t xml:space="preserve">of the changes </w:t>
      </w:r>
      <w:r w:rsidR="008759DE">
        <w:rPr>
          <w:sz w:val="20"/>
          <w:szCs w:val="20"/>
        </w:rPr>
        <w:t xml:space="preserve">are understood.   </w:t>
      </w:r>
    </w:p>
    <w:p w:rsidR="008759DE" w:rsidRDefault="008759DE" w:rsidP="008759DE">
      <w:pPr>
        <w:rPr>
          <w:sz w:val="20"/>
          <w:szCs w:val="20"/>
        </w:rPr>
      </w:pPr>
      <w:r>
        <w:rPr>
          <w:sz w:val="20"/>
          <w:szCs w:val="20"/>
        </w:rPr>
        <w:t>By using change management techniques, Siemens can best enable the</w:t>
      </w:r>
      <w:r w:rsidR="00C261DA">
        <w:rPr>
          <w:sz w:val="20"/>
          <w:szCs w:val="20"/>
        </w:rPr>
        <w:t xml:space="preserve"> transition</w:t>
      </w:r>
      <w:r>
        <w:rPr>
          <w:sz w:val="20"/>
          <w:szCs w:val="20"/>
        </w:rPr>
        <w:t xml:space="preserve"> from a p</w:t>
      </w:r>
      <w:r w:rsidR="00C261DA">
        <w:rPr>
          <w:sz w:val="20"/>
          <w:szCs w:val="20"/>
        </w:rPr>
        <w:t>rocess-orien</w:t>
      </w:r>
      <w:r w:rsidRPr="008759DE">
        <w:rPr>
          <w:sz w:val="20"/>
          <w:szCs w:val="20"/>
        </w:rPr>
        <w:t xml:space="preserve">ted office to a </w:t>
      </w:r>
      <w:r>
        <w:rPr>
          <w:sz w:val="20"/>
          <w:szCs w:val="20"/>
        </w:rPr>
        <w:t>r</w:t>
      </w:r>
      <w:r w:rsidRPr="008759DE">
        <w:rPr>
          <w:sz w:val="20"/>
          <w:szCs w:val="20"/>
        </w:rPr>
        <w:t>esults</w:t>
      </w:r>
      <w:r w:rsidR="00C261DA">
        <w:rPr>
          <w:sz w:val="20"/>
          <w:szCs w:val="20"/>
        </w:rPr>
        <w:t>-orient</w:t>
      </w:r>
      <w:r w:rsidRPr="008759DE">
        <w:rPr>
          <w:sz w:val="20"/>
          <w:szCs w:val="20"/>
        </w:rPr>
        <w:t xml:space="preserve">ed mobile office.  </w:t>
      </w:r>
      <w:r>
        <w:rPr>
          <w:sz w:val="20"/>
          <w:szCs w:val="20"/>
        </w:rPr>
        <w:t>I</w:t>
      </w:r>
      <w:r w:rsidR="00C261DA">
        <w:rPr>
          <w:sz w:val="20"/>
          <w:szCs w:val="20"/>
        </w:rPr>
        <w:t>n the results-orient</w:t>
      </w:r>
      <w:r w:rsidRPr="008759DE">
        <w:rPr>
          <w:sz w:val="20"/>
          <w:szCs w:val="20"/>
        </w:rPr>
        <w:t xml:space="preserve">ed office– the focus is on the delivery of work (the results) and flexibility is part of the culture, enabling  employees and managers to decide how </w:t>
      </w:r>
      <w:r w:rsidR="00C261DA">
        <w:rPr>
          <w:sz w:val="20"/>
          <w:szCs w:val="20"/>
        </w:rPr>
        <w:t xml:space="preserve">best to deliver </w:t>
      </w:r>
      <w:r w:rsidRPr="008759DE">
        <w:rPr>
          <w:sz w:val="20"/>
          <w:szCs w:val="20"/>
        </w:rPr>
        <w:t xml:space="preserve">quality work.  The office environment is designed to support this culture shift </w:t>
      </w:r>
      <w:r w:rsidR="00C261DA">
        <w:rPr>
          <w:sz w:val="20"/>
          <w:szCs w:val="20"/>
        </w:rPr>
        <w:t>with its</w:t>
      </w:r>
      <w:r w:rsidRPr="008759DE">
        <w:rPr>
          <w:sz w:val="20"/>
          <w:szCs w:val="20"/>
        </w:rPr>
        <w:t xml:space="preserve"> open and collaborative space.</w:t>
      </w:r>
    </w:p>
    <w:p w:rsidR="00C261DA" w:rsidRDefault="008759DE" w:rsidP="008759DE">
      <w:pPr>
        <w:rPr>
          <w:sz w:val="20"/>
          <w:szCs w:val="20"/>
        </w:rPr>
      </w:pPr>
      <w:r>
        <w:rPr>
          <w:sz w:val="20"/>
          <w:szCs w:val="20"/>
        </w:rPr>
        <w:t xml:space="preserve">When a new project is </w:t>
      </w:r>
      <w:r w:rsidR="00027327">
        <w:rPr>
          <w:sz w:val="20"/>
          <w:szCs w:val="20"/>
        </w:rPr>
        <w:t xml:space="preserve">established </w:t>
      </w:r>
      <w:r>
        <w:rPr>
          <w:sz w:val="20"/>
          <w:szCs w:val="20"/>
        </w:rPr>
        <w:t xml:space="preserve">to transform to </w:t>
      </w:r>
      <w:r w:rsidR="00027327">
        <w:rPr>
          <w:sz w:val="20"/>
          <w:szCs w:val="20"/>
        </w:rPr>
        <w:t>a New Way of Working</w:t>
      </w:r>
      <w:r>
        <w:rPr>
          <w:sz w:val="20"/>
          <w:szCs w:val="20"/>
        </w:rPr>
        <w:t xml:space="preserve"> office</w:t>
      </w:r>
      <w:r w:rsidR="00E847DC">
        <w:rPr>
          <w:sz w:val="20"/>
          <w:szCs w:val="20"/>
        </w:rPr>
        <w:t>,</w:t>
      </w:r>
      <w:r>
        <w:rPr>
          <w:sz w:val="20"/>
          <w:szCs w:val="20"/>
        </w:rPr>
        <w:t xml:space="preserve"> a cross functional team is </w:t>
      </w:r>
      <w:r w:rsidR="00027327">
        <w:rPr>
          <w:sz w:val="20"/>
          <w:szCs w:val="20"/>
        </w:rPr>
        <w:t>established.   On this team are representatives from</w:t>
      </w:r>
      <w:r>
        <w:rPr>
          <w:sz w:val="20"/>
          <w:szCs w:val="20"/>
        </w:rPr>
        <w:t xml:space="preserve"> </w:t>
      </w:r>
      <w:r w:rsidR="00027327">
        <w:rPr>
          <w:sz w:val="20"/>
          <w:szCs w:val="20"/>
        </w:rPr>
        <w:t>H</w:t>
      </w:r>
      <w:r>
        <w:rPr>
          <w:sz w:val="20"/>
          <w:szCs w:val="20"/>
        </w:rPr>
        <w:t xml:space="preserve">uman </w:t>
      </w:r>
      <w:r w:rsidR="00027327">
        <w:rPr>
          <w:sz w:val="20"/>
          <w:szCs w:val="20"/>
        </w:rPr>
        <w:t>R</w:t>
      </w:r>
      <w:r>
        <w:rPr>
          <w:sz w:val="20"/>
          <w:szCs w:val="20"/>
        </w:rPr>
        <w:t xml:space="preserve">esources, IT, </w:t>
      </w:r>
      <w:r w:rsidR="00027327">
        <w:rPr>
          <w:sz w:val="20"/>
          <w:szCs w:val="20"/>
        </w:rPr>
        <w:t>C</w:t>
      </w:r>
      <w:r>
        <w:rPr>
          <w:sz w:val="20"/>
          <w:szCs w:val="20"/>
        </w:rPr>
        <w:t>ommunica</w:t>
      </w:r>
      <w:r w:rsidR="00C261DA">
        <w:rPr>
          <w:sz w:val="20"/>
          <w:szCs w:val="20"/>
        </w:rPr>
        <w:t xml:space="preserve">tions </w:t>
      </w:r>
      <w:r w:rsidR="00027327">
        <w:rPr>
          <w:sz w:val="20"/>
          <w:szCs w:val="20"/>
        </w:rPr>
        <w:t>and Change Management</w:t>
      </w:r>
      <w:r w:rsidR="00C261DA">
        <w:rPr>
          <w:sz w:val="20"/>
          <w:szCs w:val="20"/>
        </w:rPr>
        <w:t>:</w:t>
      </w:r>
    </w:p>
    <w:p w:rsidR="00C261DA" w:rsidRDefault="00C261DA" w:rsidP="008759DE">
      <w:pPr>
        <w:rPr>
          <w:sz w:val="20"/>
          <w:szCs w:val="20"/>
        </w:rPr>
      </w:pPr>
      <w:bookmarkStart w:id="0" w:name="_GoBack"/>
      <w:r>
        <w:rPr>
          <w:noProof/>
        </w:rPr>
        <w:drawing>
          <wp:inline distT="0" distB="0" distL="0" distR="0" wp14:anchorId="2DEAD6E3" wp14:editId="6F0919D7">
            <wp:extent cx="5853382" cy="28270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5769" t="42393" r="52820" b="22051"/>
                    <a:stretch/>
                  </pic:blipFill>
                  <pic:spPr bwMode="auto">
                    <a:xfrm>
                      <a:off x="0" y="0"/>
                      <a:ext cx="5858113" cy="2829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8759DE">
        <w:rPr>
          <w:sz w:val="20"/>
          <w:szCs w:val="20"/>
        </w:rPr>
        <w:t xml:space="preserve">  </w:t>
      </w:r>
    </w:p>
    <w:p w:rsidR="00E57DEE" w:rsidRDefault="0081364D" w:rsidP="008759DE">
      <w:pPr>
        <w:rPr>
          <w:sz w:val="20"/>
          <w:szCs w:val="20"/>
        </w:rPr>
      </w:pPr>
      <w:r>
        <w:rPr>
          <w:sz w:val="20"/>
          <w:szCs w:val="20"/>
        </w:rPr>
        <w:t xml:space="preserve">Siemens has recognized early on the transformation of the working mode requires </w:t>
      </w:r>
      <w:r w:rsidR="00E847DC">
        <w:rPr>
          <w:sz w:val="20"/>
          <w:szCs w:val="20"/>
        </w:rPr>
        <w:t xml:space="preserve">a cultural shift.  This is not </w:t>
      </w:r>
      <w:r w:rsidR="00E57DEE">
        <w:rPr>
          <w:sz w:val="20"/>
          <w:szCs w:val="20"/>
        </w:rPr>
        <w:t xml:space="preserve">just </w:t>
      </w:r>
      <w:r w:rsidR="00E847DC">
        <w:rPr>
          <w:sz w:val="20"/>
          <w:szCs w:val="20"/>
        </w:rPr>
        <w:t xml:space="preserve">a </w:t>
      </w:r>
      <w:r w:rsidR="00B17876">
        <w:rPr>
          <w:sz w:val="20"/>
          <w:szCs w:val="20"/>
        </w:rPr>
        <w:t>change of office space</w:t>
      </w:r>
      <w:r w:rsidR="00E57DEE">
        <w:rPr>
          <w:sz w:val="20"/>
          <w:szCs w:val="20"/>
        </w:rPr>
        <w:t>;</w:t>
      </w:r>
      <w:r w:rsidR="00E847DC">
        <w:rPr>
          <w:sz w:val="20"/>
          <w:szCs w:val="20"/>
        </w:rPr>
        <w:t xml:space="preserve"> it is a business transformation project </w:t>
      </w:r>
      <w:r>
        <w:rPr>
          <w:sz w:val="20"/>
          <w:szCs w:val="20"/>
        </w:rPr>
        <w:t xml:space="preserve">and needs to be supported </w:t>
      </w:r>
      <w:r w:rsidR="00E847DC">
        <w:rPr>
          <w:sz w:val="20"/>
          <w:szCs w:val="20"/>
        </w:rPr>
        <w:t>by</w:t>
      </w:r>
      <w:r>
        <w:rPr>
          <w:sz w:val="20"/>
          <w:szCs w:val="20"/>
        </w:rPr>
        <w:t xml:space="preserve"> </w:t>
      </w:r>
      <w:r w:rsidR="00E57DEE">
        <w:rPr>
          <w:sz w:val="20"/>
          <w:szCs w:val="20"/>
        </w:rPr>
        <w:t xml:space="preserve">the businesses with </w:t>
      </w:r>
      <w:r w:rsidR="00B17876">
        <w:rPr>
          <w:sz w:val="20"/>
          <w:szCs w:val="20"/>
        </w:rPr>
        <w:t xml:space="preserve">a formal </w:t>
      </w:r>
      <w:r>
        <w:rPr>
          <w:sz w:val="20"/>
          <w:szCs w:val="20"/>
        </w:rPr>
        <w:t>change management</w:t>
      </w:r>
      <w:r w:rsidR="00B17876">
        <w:rPr>
          <w:sz w:val="20"/>
          <w:szCs w:val="20"/>
        </w:rPr>
        <w:t xml:space="preserve"> plan</w:t>
      </w:r>
      <w:r>
        <w:rPr>
          <w:sz w:val="20"/>
          <w:szCs w:val="20"/>
        </w:rPr>
        <w:t xml:space="preserve">.  </w:t>
      </w:r>
    </w:p>
    <w:p w:rsidR="00E57DEE" w:rsidRDefault="0081364D" w:rsidP="008759DE">
      <w:pPr>
        <w:rPr>
          <w:sz w:val="20"/>
          <w:szCs w:val="20"/>
        </w:rPr>
      </w:pPr>
      <w:r>
        <w:rPr>
          <w:sz w:val="20"/>
          <w:szCs w:val="20"/>
        </w:rPr>
        <w:t>The change management starts early with the employees and the business leaders</w:t>
      </w:r>
      <w:r w:rsidR="00027327">
        <w:rPr>
          <w:sz w:val="20"/>
          <w:szCs w:val="20"/>
        </w:rPr>
        <w:t>;</w:t>
      </w:r>
      <w:r>
        <w:rPr>
          <w:sz w:val="20"/>
          <w:szCs w:val="20"/>
        </w:rPr>
        <w:t xml:space="preserve"> these are the key sta</w:t>
      </w:r>
      <w:r w:rsidR="00B17876">
        <w:rPr>
          <w:sz w:val="20"/>
          <w:szCs w:val="20"/>
        </w:rPr>
        <w:t xml:space="preserve">keholders in the working mode </w:t>
      </w:r>
      <w:r>
        <w:rPr>
          <w:sz w:val="20"/>
          <w:szCs w:val="20"/>
        </w:rPr>
        <w:t xml:space="preserve">transformation.  </w:t>
      </w:r>
      <w:r w:rsidR="00B17876">
        <w:rPr>
          <w:sz w:val="20"/>
          <w:szCs w:val="20"/>
        </w:rPr>
        <w:t>A</w:t>
      </w:r>
      <w:r>
        <w:rPr>
          <w:sz w:val="20"/>
          <w:szCs w:val="20"/>
        </w:rPr>
        <w:t xml:space="preserve"> </w:t>
      </w:r>
      <w:r w:rsidR="00E57DEE">
        <w:rPr>
          <w:sz w:val="20"/>
          <w:szCs w:val="20"/>
        </w:rPr>
        <w:t xml:space="preserve">business </w:t>
      </w:r>
      <w:r>
        <w:rPr>
          <w:sz w:val="20"/>
          <w:szCs w:val="20"/>
        </w:rPr>
        <w:t>“Champion”</w:t>
      </w:r>
      <w:r w:rsidR="00B17876">
        <w:rPr>
          <w:sz w:val="20"/>
          <w:szCs w:val="20"/>
        </w:rPr>
        <w:t xml:space="preserve"> is assigned by senior </w:t>
      </w:r>
      <w:r w:rsidR="00B17876">
        <w:rPr>
          <w:sz w:val="20"/>
          <w:szCs w:val="20"/>
        </w:rPr>
        <w:lastRenderedPageBreak/>
        <w:t>management</w:t>
      </w:r>
      <w:r>
        <w:rPr>
          <w:sz w:val="20"/>
          <w:szCs w:val="20"/>
        </w:rPr>
        <w:t>. This is s</w:t>
      </w:r>
      <w:r w:rsidRPr="0081364D">
        <w:rPr>
          <w:sz w:val="20"/>
          <w:szCs w:val="20"/>
        </w:rPr>
        <w:t xml:space="preserve">omeone </w:t>
      </w:r>
      <w:r w:rsidR="00E57DEE">
        <w:rPr>
          <w:sz w:val="20"/>
          <w:szCs w:val="20"/>
        </w:rPr>
        <w:t xml:space="preserve">from the business </w:t>
      </w:r>
      <w:r w:rsidRPr="0081364D">
        <w:rPr>
          <w:sz w:val="20"/>
          <w:szCs w:val="20"/>
        </w:rPr>
        <w:t xml:space="preserve">who works with the project team, </w:t>
      </w:r>
      <w:r>
        <w:rPr>
          <w:sz w:val="20"/>
          <w:szCs w:val="20"/>
        </w:rPr>
        <w:t>the management of the</w:t>
      </w:r>
      <w:r w:rsidR="00E57DEE">
        <w:rPr>
          <w:sz w:val="20"/>
          <w:szCs w:val="20"/>
        </w:rPr>
        <w:t>ir</w:t>
      </w:r>
      <w:r>
        <w:rPr>
          <w:sz w:val="20"/>
          <w:szCs w:val="20"/>
        </w:rPr>
        <w:t xml:space="preserve"> business</w:t>
      </w:r>
      <w:r w:rsidRPr="0081364D">
        <w:rPr>
          <w:sz w:val="20"/>
          <w:szCs w:val="20"/>
        </w:rPr>
        <w:t xml:space="preserve"> and the key stakeholders of </w:t>
      </w:r>
      <w:r w:rsidR="00E57DEE">
        <w:rPr>
          <w:sz w:val="20"/>
          <w:szCs w:val="20"/>
        </w:rPr>
        <w:t>the</w:t>
      </w:r>
      <w:r w:rsidRPr="0081364D">
        <w:rPr>
          <w:sz w:val="20"/>
          <w:szCs w:val="20"/>
        </w:rPr>
        <w:t xml:space="preserve"> site</w:t>
      </w:r>
      <w:r w:rsidR="00E57DEE">
        <w:rPr>
          <w:sz w:val="20"/>
          <w:szCs w:val="20"/>
        </w:rPr>
        <w:t xml:space="preserve"> </w:t>
      </w:r>
      <w:r>
        <w:rPr>
          <w:sz w:val="20"/>
          <w:szCs w:val="20"/>
        </w:rPr>
        <w:t>to ensure the</w:t>
      </w:r>
      <w:r w:rsidR="00E57DEE">
        <w:rPr>
          <w:sz w:val="20"/>
          <w:szCs w:val="20"/>
        </w:rPr>
        <w:t>ir</w:t>
      </w:r>
      <w:r>
        <w:rPr>
          <w:sz w:val="20"/>
          <w:szCs w:val="20"/>
        </w:rPr>
        <w:t xml:space="preserve"> </w:t>
      </w:r>
      <w:r w:rsidRPr="0081364D">
        <w:rPr>
          <w:sz w:val="20"/>
          <w:szCs w:val="20"/>
        </w:rPr>
        <w:t>business requiremen</w:t>
      </w:r>
      <w:r>
        <w:rPr>
          <w:sz w:val="20"/>
          <w:szCs w:val="20"/>
        </w:rPr>
        <w:t>ts are re</w:t>
      </w:r>
      <w:r w:rsidR="00E847DC">
        <w:rPr>
          <w:sz w:val="20"/>
          <w:szCs w:val="20"/>
        </w:rPr>
        <w:t xml:space="preserve">flected in the </w:t>
      </w:r>
      <w:r w:rsidR="00E57DEE">
        <w:rPr>
          <w:sz w:val="20"/>
          <w:szCs w:val="20"/>
        </w:rPr>
        <w:t>new office environment</w:t>
      </w:r>
      <w:r w:rsidR="00E847DC">
        <w:rPr>
          <w:sz w:val="20"/>
          <w:szCs w:val="20"/>
        </w:rPr>
        <w:t>.  In additional to the “Champion”</w:t>
      </w:r>
      <w:r w:rsidR="00B17876">
        <w:rPr>
          <w:sz w:val="20"/>
          <w:szCs w:val="20"/>
        </w:rPr>
        <w:t xml:space="preserve"> there </w:t>
      </w:r>
      <w:r w:rsidR="00E847DC">
        <w:rPr>
          <w:sz w:val="20"/>
          <w:szCs w:val="20"/>
        </w:rPr>
        <w:t>a</w:t>
      </w:r>
      <w:r w:rsidR="00E57DEE">
        <w:rPr>
          <w:sz w:val="20"/>
          <w:szCs w:val="20"/>
        </w:rPr>
        <w:t xml:space="preserve">re </w:t>
      </w:r>
      <w:r w:rsidR="00E847DC">
        <w:rPr>
          <w:sz w:val="20"/>
          <w:szCs w:val="20"/>
        </w:rPr>
        <w:t>“Change Agent</w:t>
      </w:r>
      <w:r w:rsidR="00E57DEE">
        <w:rPr>
          <w:sz w:val="20"/>
          <w:szCs w:val="20"/>
        </w:rPr>
        <w:t>s</w:t>
      </w:r>
      <w:r w:rsidR="00E847DC">
        <w:rPr>
          <w:sz w:val="20"/>
          <w:szCs w:val="20"/>
        </w:rPr>
        <w:t xml:space="preserve">”.  </w:t>
      </w:r>
      <w:r w:rsidR="00E57DEE">
        <w:rPr>
          <w:sz w:val="20"/>
          <w:szCs w:val="20"/>
        </w:rPr>
        <w:t>These are</w:t>
      </w:r>
      <w:r w:rsidR="00E847DC">
        <w:rPr>
          <w:sz w:val="20"/>
          <w:szCs w:val="20"/>
        </w:rPr>
        <w:t xml:space="preserve"> per</w:t>
      </w:r>
      <w:r w:rsidR="00E57DEE">
        <w:rPr>
          <w:sz w:val="20"/>
          <w:szCs w:val="20"/>
        </w:rPr>
        <w:t xml:space="preserve">sons who lead </w:t>
      </w:r>
      <w:r w:rsidR="00E847DC">
        <w:rPr>
          <w:sz w:val="20"/>
          <w:szCs w:val="20"/>
        </w:rPr>
        <w:t>the change management activities following a programmatic (scheduled/planned) approach to manage change</w:t>
      </w:r>
      <w:r w:rsidR="00B17876">
        <w:rPr>
          <w:sz w:val="20"/>
          <w:szCs w:val="20"/>
        </w:rPr>
        <w:t xml:space="preserve"> within their business</w:t>
      </w:r>
      <w:r w:rsidR="00E847DC">
        <w:rPr>
          <w:sz w:val="20"/>
          <w:szCs w:val="20"/>
        </w:rPr>
        <w:t xml:space="preserve">.   </w:t>
      </w:r>
      <w:r w:rsidR="00B17876">
        <w:rPr>
          <w:sz w:val="20"/>
          <w:szCs w:val="20"/>
        </w:rPr>
        <w:t xml:space="preserve">Every </w:t>
      </w:r>
      <w:r w:rsidR="00E57DEE">
        <w:rPr>
          <w:sz w:val="20"/>
          <w:szCs w:val="20"/>
        </w:rPr>
        <w:t xml:space="preserve">New Way of </w:t>
      </w:r>
      <w:proofErr w:type="gramStart"/>
      <w:r w:rsidR="00E57DEE">
        <w:rPr>
          <w:sz w:val="20"/>
          <w:szCs w:val="20"/>
        </w:rPr>
        <w:t>Working</w:t>
      </w:r>
      <w:proofErr w:type="gramEnd"/>
      <w:r w:rsidR="00E57DEE">
        <w:rPr>
          <w:sz w:val="20"/>
          <w:szCs w:val="20"/>
        </w:rPr>
        <w:t xml:space="preserve"> project has a specific change management plan which includes</w:t>
      </w:r>
      <w:r w:rsidR="00E57DEE" w:rsidRPr="008759DE">
        <w:rPr>
          <w:sz w:val="20"/>
          <w:szCs w:val="20"/>
        </w:rPr>
        <w:t xml:space="preserve"> focus groups, surveys, information sessions and orientations</w:t>
      </w:r>
      <w:r w:rsidR="00E57DEE">
        <w:rPr>
          <w:sz w:val="20"/>
          <w:szCs w:val="20"/>
        </w:rPr>
        <w:t xml:space="preserve">. </w:t>
      </w:r>
    </w:p>
    <w:p w:rsidR="008759DE" w:rsidRDefault="0081364D" w:rsidP="008759DE">
      <w:pPr>
        <w:rPr>
          <w:sz w:val="20"/>
          <w:szCs w:val="20"/>
        </w:rPr>
      </w:pPr>
      <w:r>
        <w:rPr>
          <w:sz w:val="20"/>
          <w:szCs w:val="20"/>
        </w:rPr>
        <w:t xml:space="preserve">The ultimate benefit of taking </w:t>
      </w:r>
      <w:r w:rsidR="00E847DC">
        <w:rPr>
          <w:sz w:val="20"/>
          <w:szCs w:val="20"/>
        </w:rPr>
        <w:t xml:space="preserve">a </w:t>
      </w:r>
      <w:r w:rsidR="00027327">
        <w:rPr>
          <w:sz w:val="20"/>
          <w:szCs w:val="20"/>
        </w:rPr>
        <w:t>pro</w:t>
      </w:r>
      <w:r>
        <w:rPr>
          <w:sz w:val="20"/>
          <w:szCs w:val="20"/>
        </w:rPr>
        <w:t xml:space="preserve">active change management approach </w:t>
      </w:r>
      <w:r w:rsidR="00E847DC">
        <w:rPr>
          <w:sz w:val="20"/>
          <w:szCs w:val="20"/>
        </w:rPr>
        <w:t>is to ensure</w:t>
      </w:r>
      <w:r>
        <w:rPr>
          <w:sz w:val="20"/>
          <w:szCs w:val="20"/>
        </w:rPr>
        <w:t xml:space="preserve"> productivity while the office undergoes a transfo</w:t>
      </w:r>
      <w:r w:rsidR="00B17876">
        <w:rPr>
          <w:sz w:val="20"/>
          <w:szCs w:val="20"/>
        </w:rPr>
        <w:t>rmation</w:t>
      </w:r>
      <w:r w:rsidR="00027327">
        <w:rPr>
          <w:sz w:val="20"/>
          <w:szCs w:val="20"/>
        </w:rPr>
        <w:t xml:space="preserve">, </w:t>
      </w:r>
      <w:proofErr w:type="gramStart"/>
      <w:r w:rsidR="00E847DC">
        <w:rPr>
          <w:sz w:val="20"/>
          <w:szCs w:val="20"/>
        </w:rPr>
        <w:t>After</w:t>
      </w:r>
      <w:proofErr w:type="gramEnd"/>
      <w:r w:rsidR="00E847DC">
        <w:rPr>
          <w:sz w:val="20"/>
          <w:szCs w:val="20"/>
        </w:rPr>
        <w:t xml:space="preserve"> the </w:t>
      </w:r>
      <w:r w:rsidR="00027327">
        <w:rPr>
          <w:sz w:val="20"/>
          <w:szCs w:val="20"/>
        </w:rPr>
        <w:t>transition</w:t>
      </w:r>
      <w:r w:rsidR="00E847DC">
        <w:rPr>
          <w:sz w:val="20"/>
          <w:szCs w:val="20"/>
        </w:rPr>
        <w:t xml:space="preserve"> to the new environment, change management continues to ensure the employees are </w:t>
      </w:r>
      <w:r w:rsidR="00357A60">
        <w:rPr>
          <w:sz w:val="20"/>
          <w:szCs w:val="20"/>
        </w:rPr>
        <w:t xml:space="preserve">adapting </w:t>
      </w:r>
      <w:r w:rsidR="00E847DC">
        <w:rPr>
          <w:sz w:val="20"/>
          <w:szCs w:val="20"/>
        </w:rPr>
        <w:t>the new mode of working</w:t>
      </w:r>
      <w:r w:rsidR="00357A60">
        <w:rPr>
          <w:sz w:val="20"/>
          <w:szCs w:val="20"/>
        </w:rPr>
        <w:t xml:space="preserve"> and embracing the change</w:t>
      </w:r>
      <w:r w:rsidR="00E847DC">
        <w:rPr>
          <w:sz w:val="20"/>
          <w:szCs w:val="20"/>
        </w:rPr>
        <w:t>.</w:t>
      </w:r>
    </w:p>
    <w:p w:rsidR="00357A60" w:rsidRDefault="00357A60" w:rsidP="008759DE">
      <w:pPr>
        <w:rPr>
          <w:sz w:val="20"/>
          <w:szCs w:val="20"/>
        </w:rPr>
      </w:pPr>
      <w:r>
        <w:rPr>
          <w:sz w:val="20"/>
          <w:szCs w:val="20"/>
        </w:rPr>
        <w:t>Here are some the steps in a change management sample plan:</w:t>
      </w:r>
    </w:p>
    <w:p w:rsidR="0066135D" w:rsidRPr="00357A60" w:rsidRDefault="00357A60" w:rsidP="00357A60">
      <w:pPr>
        <w:numPr>
          <w:ilvl w:val="0"/>
          <w:numId w:val="1"/>
        </w:numPr>
        <w:rPr>
          <w:sz w:val="20"/>
          <w:szCs w:val="20"/>
        </w:rPr>
      </w:pPr>
      <w:r w:rsidRPr="00357A60">
        <w:rPr>
          <w:b/>
          <w:bCs/>
          <w:sz w:val="20"/>
          <w:szCs w:val="20"/>
        </w:rPr>
        <w:t>Month one</w:t>
      </w:r>
      <w:r w:rsidR="00A31A7B" w:rsidRPr="00357A60">
        <w:rPr>
          <w:b/>
          <w:bCs/>
          <w:sz w:val="20"/>
          <w:szCs w:val="20"/>
        </w:rPr>
        <w:t xml:space="preserve"> </w:t>
      </w:r>
      <w:r w:rsidR="00A31A7B" w:rsidRPr="00357A60">
        <w:rPr>
          <w:sz w:val="20"/>
          <w:szCs w:val="20"/>
        </w:rPr>
        <w:t xml:space="preserve">- Work with </w:t>
      </w:r>
      <w:r w:rsidRPr="00357A60">
        <w:rPr>
          <w:sz w:val="20"/>
          <w:szCs w:val="20"/>
        </w:rPr>
        <w:t>business executives</w:t>
      </w:r>
      <w:r w:rsidR="00A31A7B" w:rsidRPr="00357A60">
        <w:rPr>
          <w:sz w:val="20"/>
          <w:szCs w:val="20"/>
        </w:rPr>
        <w:t xml:space="preserve"> and local</w:t>
      </w:r>
      <w:r w:rsidRPr="00357A60">
        <w:rPr>
          <w:sz w:val="20"/>
          <w:szCs w:val="20"/>
        </w:rPr>
        <w:t xml:space="preserve"> office</w:t>
      </w:r>
      <w:r w:rsidR="00A31A7B" w:rsidRPr="00357A60">
        <w:rPr>
          <w:sz w:val="20"/>
          <w:szCs w:val="20"/>
        </w:rPr>
        <w:t xml:space="preserve"> management to unders</w:t>
      </w:r>
      <w:r w:rsidRPr="00357A60">
        <w:rPr>
          <w:sz w:val="20"/>
          <w:szCs w:val="20"/>
        </w:rPr>
        <w:t xml:space="preserve">tand the impact of the changes. </w:t>
      </w:r>
      <w:r w:rsidR="00A31A7B" w:rsidRPr="00357A60">
        <w:rPr>
          <w:sz w:val="20"/>
          <w:szCs w:val="20"/>
        </w:rPr>
        <w:t>Conduct informational sessio</w:t>
      </w:r>
      <w:r>
        <w:rPr>
          <w:sz w:val="20"/>
          <w:szCs w:val="20"/>
        </w:rPr>
        <w:t>ns /interviews with business s</w:t>
      </w:r>
      <w:r w:rsidR="00A31A7B" w:rsidRPr="00357A60">
        <w:rPr>
          <w:sz w:val="20"/>
          <w:szCs w:val="20"/>
        </w:rPr>
        <w:t>takeholders. Nomination of Local Change Managers/Agents as selected by the business</w:t>
      </w:r>
      <w:r w:rsidR="00027327">
        <w:rPr>
          <w:sz w:val="20"/>
          <w:szCs w:val="20"/>
        </w:rPr>
        <w:t>.</w:t>
      </w:r>
    </w:p>
    <w:p w:rsidR="0066135D" w:rsidRPr="00357A60" w:rsidRDefault="00357A60" w:rsidP="00357A60">
      <w:pPr>
        <w:numPr>
          <w:ilvl w:val="0"/>
          <w:numId w:val="1"/>
        </w:numPr>
        <w:rPr>
          <w:sz w:val="20"/>
          <w:szCs w:val="20"/>
        </w:rPr>
      </w:pPr>
      <w:r>
        <w:rPr>
          <w:b/>
          <w:bCs/>
          <w:sz w:val="20"/>
          <w:szCs w:val="20"/>
        </w:rPr>
        <w:t>Month two</w:t>
      </w:r>
      <w:r w:rsidR="00A31A7B" w:rsidRPr="00357A60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– Conduct t</w:t>
      </w:r>
      <w:r w:rsidR="00A31A7B" w:rsidRPr="00357A60">
        <w:rPr>
          <w:sz w:val="20"/>
          <w:szCs w:val="20"/>
        </w:rPr>
        <w:t>op Manage</w:t>
      </w:r>
      <w:r>
        <w:rPr>
          <w:sz w:val="20"/>
          <w:szCs w:val="20"/>
        </w:rPr>
        <w:t>ment Change Management Workshop</w:t>
      </w:r>
      <w:r w:rsidR="00A31A7B" w:rsidRPr="00357A60">
        <w:rPr>
          <w:sz w:val="20"/>
          <w:szCs w:val="20"/>
        </w:rPr>
        <w:t xml:space="preserve">.  Develop or </w:t>
      </w:r>
      <w:r>
        <w:rPr>
          <w:sz w:val="20"/>
          <w:szCs w:val="20"/>
        </w:rPr>
        <w:t>c</w:t>
      </w:r>
      <w:r w:rsidR="00A31A7B" w:rsidRPr="00357A60">
        <w:rPr>
          <w:sz w:val="20"/>
          <w:szCs w:val="20"/>
        </w:rPr>
        <w:t xml:space="preserve">onfirm </w:t>
      </w:r>
      <w:r>
        <w:rPr>
          <w:sz w:val="20"/>
          <w:szCs w:val="20"/>
        </w:rPr>
        <w:t xml:space="preserve">new procedures </w:t>
      </w:r>
      <w:r w:rsidR="00A31A7B" w:rsidRPr="00357A60">
        <w:rPr>
          <w:sz w:val="20"/>
          <w:szCs w:val="20"/>
        </w:rPr>
        <w:t xml:space="preserve">based on understanding of the changes </w:t>
      </w:r>
      <w:r>
        <w:rPr>
          <w:sz w:val="20"/>
          <w:szCs w:val="20"/>
        </w:rPr>
        <w:t xml:space="preserve">occurring </w:t>
      </w:r>
      <w:r w:rsidR="00A31A7B" w:rsidRPr="00357A60">
        <w:rPr>
          <w:sz w:val="20"/>
          <w:szCs w:val="20"/>
        </w:rPr>
        <w:t xml:space="preserve">to business.  Publish </w:t>
      </w:r>
      <w:r>
        <w:rPr>
          <w:sz w:val="20"/>
          <w:szCs w:val="20"/>
        </w:rPr>
        <w:t>r</w:t>
      </w:r>
      <w:r w:rsidR="00A31A7B" w:rsidRPr="00357A60">
        <w:rPr>
          <w:sz w:val="20"/>
          <w:szCs w:val="20"/>
        </w:rPr>
        <w:t xml:space="preserve">evised </w:t>
      </w:r>
      <w:r>
        <w:rPr>
          <w:sz w:val="20"/>
          <w:szCs w:val="20"/>
        </w:rPr>
        <w:t>procedures</w:t>
      </w:r>
      <w:r w:rsidR="00A31A7B" w:rsidRPr="00357A60">
        <w:rPr>
          <w:sz w:val="20"/>
          <w:szCs w:val="20"/>
        </w:rPr>
        <w:t>, as necessary</w:t>
      </w:r>
      <w:r>
        <w:rPr>
          <w:sz w:val="20"/>
          <w:szCs w:val="20"/>
        </w:rPr>
        <w:t xml:space="preserve"> and train employees accordingly.</w:t>
      </w:r>
      <w:r w:rsidR="00A31A7B" w:rsidRPr="00357A60">
        <w:rPr>
          <w:sz w:val="20"/>
          <w:szCs w:val="20"/>
        </w:rPr>
        <w:t xml:space="preserve">  </w:t>
      </w:r>
    </w:p>
    <w:p w:rsidR="00930763" w:rsidRDefault="00357A60" w:rsidP="00357A60">
      <w:pPr>
        <w:numPr>
          <w:ilvl w:val="0"/>
          <w:numId w:val="1"/>
        </w:numPr>
        <w:rPr>
          <w:sz w:val="20"/>
          <w:szCs w:val="20"/>
        </w:rPr>
      </w:pPr>
      <w:r>
        <w:rPr>
          <w:b/>
          <w:bCs/>
          <w:sz w:val="20"/>
          <w:szCs w:val="20"/>
        </w:rPr>
        <w:t>Months three - six</w:t>
      </w:r>
      <w:r w:rsidR="00930763">
        <w:rPr>
          <w:b/>
          <w:bCs/>
          <w:sz w:val="20"/>
          <w:szCs w:val="20"/>
        </w:rPr>
        <w:t xml:space="preserve"> </w:t>
      </w:r>
      <w:r w:rsidR="00A31A7B" w:rsidRPr="00357A60">
        <w:rPr>
          <w:sz w:val="20"/>
          <w:szCs w:val="20"/>
        </w:rPr>
        <w:t xml:space="preserve">- </w:t>
      </w:r>
      <w:r w:rsidR="00930763">
        <w:rPr>
          <w:sz w:val="20"/>
          <w:szCs w:val="20"/>
        </w:rPr>
        <w:t xml:space="preserve">Continue Change Management </w:t>
      </w:r>
      <w:r w:rsidR="00A31A7B" w:rsidRPr="00357A60">
        <w:rPr>
          <w:sz w:val="20"/>
          <w:szCs w:val="20"/>
        </w:rPr>
        <w:t>process</w:t>
      </w:r>
      <w:r w:rsidR="00B17876">
        <w:rPr>
          <w:sz w:val="20"/>
          <w:szCs w:val="20"/>
        </w:rPr>
        <w:t xml:space="preserve"> with employees, </w:t>
      </w:r>
      <w:r w:rsidR="00A31A7B" w:rsidRPr="00357A60">
        <w:rPr>
          <w:sz w:val="20"/>
          <w:szCs w:val="20"/>
        </w:rPr>
        <w:t xml:space="preserve">including </w:t>
      </w:r>
      <w:r w:rsidR="00930763">
        <w:rPr>
          <w:sz w:val="20"/>
          <w:szCs w:val="20"/>
        </w:rPr>
        <w:t xml:space="preserve">additional change </w:t>
      </w:r>
      <w:r w:rsidR="00A31A7B" w:rsidRPr="00357A60">
        <w:rPr>
          <w:sz w:val="20"/>
          <w:szCs w:val="20"/>
        </w:rPr>
        <w:t>management workshops, change</w:t>
      </w:r>
      <w:r w:rsidR="00B17876">
        <w:rPr>
          <w:sz w:val="20"/>
          <w:szCs w:val="20"/>
        </w:rPr>
        <w:t xml:space="preserve"> agent workshops, focus groups &amp; employee trainings</w:t>
      </w:r>
      <w:r w:rsidR="00930763">
        <w:rPr>
          <w:sz w:val="20"/>
          <w:szCs w:val="20"/>
        </w:rPr>
        <w:t>.</w:t>
      </w:r>
    </w:p>
    <w:p w:rsidR="0066135D" w:rsidRPr="00357A60" w:rsidRDefault="00930763" w:rsidP="00357A60">
      <w:pPr>
        <w:numPr>
          <w:ilvl w:val="0"/>
          <w:numId w:val="1"/>
        </w:numPr>
        <w:rPr>
          <w:sz w:val="20"/>
          <w:szCs w:val="20"/>
        </w:rPr>
      </w:pPr>
      <w:r>
        <w:rPr>
          <w:b/>
          <w:bCs/>
          <w:sz w:val="20"/>
          <w:szCs w:val="20"/>
        </w:rPr>
        <w:t>Post move</w:t>
      </w:r>
      <w:r w:rsidR="00027327">
        <w:rPr>
          <w:b/>
          <w:bCs/>
          <w:sz w:val="20"/>
          <w:szCs w:val="20"/>
        </w:rPr>
        <w:t>-</w:t>
      </w:r>
      <w:r>
        <w:rPr>
          <w:b/>
          <w:bCs/>
          <w:sz w:val="20"/>
          <w:szCs w:val="20"/>
        </w:rPr>
        <w:t>in</w:t>
      </w:r>
      <w:r w:rsidRPr="00930763">
        <w:rPr>
          <w:sz w:val="20"/>
          <w:szCs w:val="20"/>
        </w:rPr>
        <w:t>-</w:t>
      </w:r>
      <w:r>
        <w:rPr>
          <w:sz w:val="20"/>
          <w:szCs w:val="20"/>
        </w:rPr>
        <w:t xml:space="preserve"> Conduct employee survey and share with site management feedback.  Address concerns and execute further training as needed.</w:t>
      </w:r>
    </w:p>
    <w:p w:rsidR="00E57DEE" w:rsidRDefault="00A0212A" w:rsidP="008759DE">
      <w:pPr>
        <w:rPr>
          <w:sz w:val="20"/>
          <w:szCs w:val="20"/>
        </w:rPr>
      </w:pPr>
      <w:r>
        <w:rPr>
          <w:sz w:val="20"/>
          <w:szCs w:val="20"/>
        </w:rPr>
        <w:t>Neither th</w:t>
      </w:r>
      <w:r w:rsidR="00930763">
        <w:rPr>
          <w:sz w:val="20"/>
          <w:szCs w:val="20"/>
        </w:rPr>
        <w:t xml:space="preserve">e cost </w:t>
      </w:r>
      <w:r>
        <w:rPr>
          <w:sz w:val="20"/>
          <w:szCs w:val="20"/>
        </w:rPr>
        <w:t xml:space="preserve">nor time required </w:t>
      </w:r>
      <w:r w:rsidR="00930763">
        <w:rPr>
          <w:sz w:val="20"/>
          <w:szCs w:val="20"/>
        </w:rPr>
        <w:t xml:space="preserve">to conduct proper change management is material when compared to entire project.  The </w:t>
      </w:r>
      <w:r>
        <w:rPr>
          <w:sz w:val="20"/>
          <w:szCs w:val="20"/>
        </w:rPr>
        <w:t>result from executing a formal change management process is ensuring the stakeholders are aligned to the goals of the project and the continued productivity of the organization throughout the change.</w:t>
      </w:r>
    </w:p>
    <w:p w:rsidR="00E847DC" w:rsidRDefault="00E847DC" w:rsidP="008759DE">
      <w:pPr>
        <w:rPr>
          <w:sz w:val="20"/>
          <w:szCs w:val="20"/>
        </w:rPr>
      </w:pPr>
    </w:p>
    <w:p w:rsidR="00E847DC" w:rsidRPr="008759DE" w:rsidRDefault="00E847DC" w:rsidP="008759DE">
      <w:pPr>
        <w:rPr>
          <w:sz w:val="20"/>
          <w:szCs w:val="20"/>
        </w:rPr>
      </w:pPr>
    </w:p>
    <w:p w:rsidR="008759DE" w:rsidRDefault="008759DE">
      <w:pPr>
        <w:rPr>
          <w:sz w:val="20"/>
          <w:szCs w:val="20"/>
        </w:rPr>
      </w:pPr>
    </w:p>
    <w:p w:rsidR="008759DE" w:rsidRPr="00E017E5" w:rsidRDefault="008759DE">
      <w:pPr>
        <w:rPr>
          <w:sz w:val="20"/>
          <w:szCs w:val="20"/>
        </w:rPr>
      </w:pPr>
    </w:p>
    <w:p w:rsidR="00A31A7B" w:rsidRPr="00E017E5" w:rsidRDefault="00A31A7B">
      <w:pPr>
        <w:rPr>
          <w:sz w:val="20"/>
          <w:szCs w:val="20"/>
        </w:rPr>
      </w:pPr>
    </w:p>
    <w:sectPr w:rsidR="00A31A7B" w:rsidRPr="00E017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E257A"/>
    <w:multiLevelType w:val="hybridMultilevel"/>
    <w:tmpl w:val="E336216E"/>
    <w:lvl w:ilvl="0" w:tplc="ECAE7F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22CD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868F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1840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442F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4663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9EA9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BC42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FC94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3CD"/>
    <w:rsid w:val="00027327"/>
    <w:rsid w:val="00203AD8"/>
    <w:rsid w:val="00357A60"/>
    <w:rsid w:val="0066135D"/>
    <w:rsid w:val="00781A9F"/>
    <w:rsid w:val="0081364D"/>
    <w:rsid w:val="008759DE"/>
    <w:rsid w:val="008D50E5"/>
    <w:rsid w:val="00930763"/>
    <w:rsid w:val="00A0212A"/>
    <w:rsid w:val="00A31A7B"/>
    <w:rsid w:val="00AB5A82"/>
    <w:rsid w:val="00B17876"/>
    <w:rsid w:val="00C261DA"/>
    <w:rsid w:val="00D063CD"/>
    <w:rsid w:val="00E017E5"/>
    <w:rsid w:val="00E57DEE"/>
    <w:rsid w:val="00E847DC"/>
    <w:rsid w:val="00EF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56EC82-4ABC-4711-A0CE-B9299370D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6766587110446760263gmail-m4250945737573144074msolistparagraph">
    <w:name w:val="m_-6766587110446760263gmail-m_4250945737573144074msolistparagraph"/>
    <w:basedOn w:val="Normal"/>
    <w:rsid w:val="00D063C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178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1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0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smartsheet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Siemens AG</Company>
  <LinksUpToDate>false</LinksUpToDate>
  <CharactersWithSpaces>4355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Kermanshahi, Baback (GS SRE AM BD&amp;PMM)</dc:creator>
  <cp:lastModifiedBy>ekatzman</cp:lastModifiedBy>
  <cp:revision>3</cp:revision>
  <dcterms:created xsi:type="dcterms:W3CDTF">2016-12-07T14:32:00Z</dcterms:created>
  <dcterms:modified xsi:type="dcterms:W3CDTF">2016-12-07T14:57:00Z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503025973</vt:i4>
  </property>
  <property fmtid="{D5CDD505-2E9C-101B-9397-08002B2CF9AE}" pid="3" name="_NewReviewCycle">
    <vt:lpwstr/>
  </property>
  <property fmtid="{D5CDD505-2E9C-101B-9397-08002B2CF9AE}" pid="4" name="_EmailSubject">
    <vt:lpwstr>draft for Smarsheet</vt:lpwstr>
  </property>
  <property fmtid="{D5CDD505-2E9C-101B-9397-08002B2CF9AE}" pid="5" name="_AuthorEmail">
    <vt:lpwstr>Lauren.Espin@siemens.com</vt:lpwstr>
  </property>
  <property fmtid="{D5CDD505-2E9C-101B-9397-08002B2CF9AE}" pid="6" name="_AuthorEmailDisplayName">
    <vt:lpwstr>Espin, Lauren (CC GS SRE)</vt:lpwstr>
  </property>
  <property fmtid="{D5CDD505-2E9C-101B-9397-08002B2CF9AE}" pid="7" name="_ReviewingToolsShownOnce">
    <vt:lpwstr/>
  </property>
</Properties>
</file>